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66.png" ContentType="image/png"/>
  <Override PartName="/word/media/rId70.png" ContentType="image/png"/>
  <Override PartName="/word/media/rId57.png" ContentType="image/png"/>
  <Override PartName="/word/media/rId61.png" ContentType="image/png"/>
  <Override PartName="/word/media/rId75.png" ContentType="image/png"/>
  <Override PartName="/word/media/rId149.png" ContentType="image/png"/>
  <Override PartName="/word/media/rId159.png" ContentType="image/png"/>
  <Override PartName="/word/media/rId154.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variance</w:t>
      </w:r>
      <w:r>
        <w:t xml:space="preserve"> </w:t>
      </w:r>
      <w:r>
        <w:t xml:space="preserve">in</w:t>
      </w:r>
      <w:r>
        <w:t xml:space="preserve"> </w:t>
      </w:r>
      <w:r>
        <w:t xml:space="preserve">physiological</w:t>
      </w:r>
      <w:r>
        <w:t xml:space="preserve"> </w:t>
      </w:r>
      <w:r>
        <w:t xml:space="preserve">rates</w:t>
      </w:r>
      <w:r>
        <w:t xml:space="preserve"> </w:t>
      </w:r>
      <w:r>
        <w:t xml:space="preserve">for</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w:r>
        <w:rPr>
          <w:vertAlign w:val="superscript"/>
        </w:rPr>
        <w:t xml:space="preserve">1</w:t>
      </w:r>
      <w:r>
        <w:t xml:space="preserve">, Fonti Kar</w:t>
      </w:r>
      <w:r>
        <w:rPr>
          <w:vertAlign w:val="superscript"/>
        </w:rPr>
        <w:t xml:space="preserve">2</w:t>
      </w:r>
      <w:r>
        <w:t xml:space="preserve">, Frank Seebacher</w:t>
      </w:r>
      <w:r>
        <w:rPr>
          <w:vertAlign w:val="superscript"/>
        </w:rPr>
        <w:t xml:space="preserve">3</w:t>
      </w:r>
      <w:r>
        <w:t xml:space="preserve">, Alex Bush</w:t>
      </w:r>
      <w:r>
        <w:rPr>
          <w:vertAlign w:val="superscript"/>
        </w:rPr>
        <w:t xml:space="preserve">4</w:t>
      </w:r>
      <w:r>
        <w:t xml:space="preserve">, &amp; Shinichi Nakagawa</w:t>
      </w:r>
      <w:r>
        <w:rPr>
          <w:vertAlign w:val="superscript"/>
        </w:rPr>
        <w:t xml:space="preserve">2</w:t>
      </w:r>
    </w:p>
    <w:bookmarkStart w:id="20" w:name="affliations"/>
    <w:p>
      <w:pPr>
        <w:pStyle w:val="Heading4"/>
      </w:pPr>
      <w:r>
        <w:t xml:space="preserve">Affliations:</w:t>
      </w:r>
    </w:p>
    <w:p>
      <w:pPr>
        <w:pStyle w:val="FirstParagraph"/>
      </w:pPr>
      <w:r>
        <w:rPr>
          <w:vertAlign w:val="superscript"/>
        </w:rPr>
        <w:t xml:space="preserve">1</w:t>
      </w:r>
      <w:r>
        <w:t xml:space="preserve"> </w:t>
      </w:r>
      <w:r>
        <w:t xml:space="preserve">Division of Ecology and Evolution, Research School of Biology, The Australian National University, Canberra, ACT 2600, Australia 
</w:t>
      </w:r>
      <w:r>
        <w:br/>
      </w:r>
      <w:r>
        <w:rPr>
          <w:vertAlign w:val="superscript"/>
        </w:rPr>
        <w:t xml:space="preserve">2</w:t>
      </w:r>
      <w:r>
        <w:t xml:space="preserve"> </w:t>
      </w:r>
      <w:r>
        <w:t xml:space="preserve">Ecology and Evolution Research Centre, School of Biological, Earth and Environmental Sciences, University of New South Wales, Sydney, NSW, Australia 
</w:t>
      </w:r>
      <w:r>
        <w:br/>
      </w:r>
      <w:r>
        <w:rPr>
          <w:vertAlign w:val="superscript"/>
        </w:rPr>
        <w:t xml:space="preserve">3</w:t>
      </w:r>
      <w:r>
        <w:t xml:space="preserve"> </w:t>
      </w:r>
      <w:r>
        <w:t xml:space="preserve">SOLES, University of Sydney, Sydney, NSW, Australia 
</w:t>
      </w:r>
      <w:r>
        <w:br/>
      </w:r>
      <w:r>
        <w:rPr>
          <w:vertAlign w:val="superscript"/>
        </w:rPr>
        <w:t xml:space="preserve">4</w:t>
      </w:r>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Climate change is expected to result in warmer and more variable thermal environments for many organisms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Greater thermal variability in the past is expected to have resulted in strong selection pressures leading to genetic adaptation and/or the evolution of adaptive phenotypic plasticity – both of which are considered important for population resilience to contemporary human-induced climate change</w:t>
      </w:r>
      <w:r>
        <w:t xml:space="preserve"> </w:t>
      </w:r>
      <w:r>
        <w:t xml:space="preserve">(Chevin</w:t>
      </w:r>
      <w:r>
        <w:t xml:space="preserve"> </w:t>
      </w:r>
      <w:r>
        <w:rPr>
          <w:iCs/>
          <w:i/>
        </w:rPr>
        <w:t xml:space="preserve">et al.</w:t>
      </w:r>
      <w:r>
        <w:t xml:space="preserve"> </w:t>
      </w:r>
      <w:r>
        <w:t xml:space="preserve">2010; Merila &amp; Hendry 2014; Chevin &amp; Lande 2015; Seebacher</w:t>
      </w:r>
      <w:r>
        <w:t xml:space="preserve"> </w:t>
      </w:r>
      <w:r>
        <w:rPr>
          <w:iCs/>
          <w:i/>
        </w:rPr>
        <w:t xml:space="preserve">et al.</w:t>
      </w:r>
      <w:r>
        <w:t xml:space="preserve"> </w:t>
      </w:r>
      <w:r>
        <w:t xml:space="preserve">2015; Nunney 2016; Chevin &amp; Hoffmann 2017)</w:t>
      </w:r>
      <w:r>
        <w:t xml:space="preserve">. The extent to which adaptive plasticity and genetic adaptation will allow organisms to adapt to new environmental conditions is not yet clearly established</w:t>
      </w:r>
      <w:r>
        <w:t xml:space="preserve"> </w:t>
      </w:r>
      <w:r>
        <w:t xml:space="preserve">(Chevin &amp; Hoffmann 2017)</w:t>
      </w:r>
      <w:r>
        <w:t xml:space="preserve">. Without such responses, high rates of extinction are predicted if organisms cannot track suitable habitats</w:t>
      </w:r>
      <w:r>
        <w:t xml:space="preserve"> </w:t>
      </w:r>
      <w:r>
        <w:t xml:space="preserve">(Cahill</w:t>
      </w:r>
      <w:r>
        <w:t xml:space="preserve"> </w:t>
      </w:r>
      <w:r>
        <w:rPr>
          <w:iCs/>
          <w:i/>
        </w:rPr>
        <w:t xml:space="preserve">et al.</w:t>
      </w:r>
      <w:r>
        <w:t xml:space="preserve"> </w:t>
      </w:r>
      <w:r>
        <w:t xml:space="preserve">2012; Nunney 2016)</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by buying time for genetic adaptation to take place</w:t>
      </w:r>
      <w:r>
        <w:t xml:space="preserve"> </w:t>
      </w:r>
      <w:r>
        <w:t xml:space="preserve">(i.e., the</w:t>
      </w:r>
      <w:r>
        <w:t xml:space="preserve"> </w:t>
      </w:r>
      <w:r>
        <w:t xml:space="preserve">‘</w:t>
      </w:r>
      <w:r>
        <w:t xml:space="preserve">plasticty first hypothesis</w:t>
      </w:r>
      <w:r>
        <w:t xml:space="preserve">’</w:t>
      </w:r>
      <w:r>
        <w:t xml:space="preserve"> </w:t>
      </w:r>
      <w:r>
        <w:t xml:space="preserve">- West-Eberhard 2003; see also Lande 2009)</w:t>
      </w:r>
      <w:r>
        <w:t xml:space="preserve">. Phenotypic plasticity is predicted to evolve when environmental variability is high but predictable and the costs of plasticity is low</w:t>
      </w:r>
      <w:r>
        <w:t xml:space="preserve"> </w:t>
      </w:r>
      <w:r>
        <w:t xml:space="preserve">(Dewitt</w:t>
      </w:r>
      <w:r>
        <w:t xml:space="preserve"> </w:t>
      </w:r>
      <w:r>
        <w:rPr>
          <w:iCs/>
          <w:i/>
        </w:rPr>
        <w:t xml:space="preserve">et al.</w:t>
      </w:r>
      <w:r>
        <w:t xml:space="preserve"> </w:t>
      </w:r>
      <w:r>
        <w:t xml:space="preserve">1998; Reed</w:t>
      </w:r>
      <w:r>
        <w:t xml:space="preserve"> </w:t>
      </w:r>
      <w:r>
        <w:rPr>
          <w:iCs/>
          <w:i/>
        </w:rPr>
        <w:t xml:space="preserve">et al.</w:t>
      </w:r>
      <w:r>
        <w:t xml:space="preserve"> </w:t>
      </w:r>
      <w:r>
        <w:t xml:space="preserve">2010; Nunney 2016; Chevin &amp; Hoffmann 2017; Scheiner</w:t>
      </w:r>
      <w:r>
        <w:t xml:space="preserve"> </w:t>
      </w:r>
      <w:r>
        <w:rPr>
          <w:iCs/>
          <w:i/>
        </w:rPr>
        <w:t xml:space="preserve">et al.</w:t>
      </w:r>
      <w:r>
        <w:t xml:space="preserve"> </w:t>
      </w:r>
      <w:r>
        <w:t xml:space="preserve">2020)</w:t>
      </w:r>
      <w:r>
        <w:t xml:space="preserve">. Despite this theoretical expectation, empirical support is scant</w:t>
      </w:r>
      <w:r>
        <w:t xml:space="preserve"> </w:t>
      </w:r>
      <w:r>
        <w:t xml:space="preserve">(but see Leung</w:t>
      </w:r>
      <w:r>
        <w:t xml:space="preserve"> </w:t>
      </w:r>
      <w:r>
        <w:rPr>
          <w:iCs/>
          <w:i/>
        </w:rPr>
        <w:t xml:space="preserve">et al.</w:t>
      </w:r>
      <w:r>
        <w:t xml:space="preserve"> </w:t>
      </w:r>
      <w:r>
        <w:t xml:space="preserve">2020)</w:t>
      </w:r>
      <w:r>
        <w:t xml:space="preserve">, likely because many organisms can behaviorally adjust micro-habitat selection to offset thermal stress, the costs of plasticity are high</w:t>
      </w:r>
      <w:r>
        <w:t xml:space="preserve"> </w:t>
      </w:r>
      <w:r>
        <w:t xml:space="preserve">(Dewitt</w:t>
      </w:r>
      <w:r>
        <w:t xml:space="preserve"> </w:t>
      </w:r>
      <w:r>
        <w:rPr>
          <w:iCs/>
          <w:i/>
        </w:rPr>
        <w:t xml:space="preserve">et al.</w:t>
      </w:r>
      <w:r>
        <w:t xml:space="preserve"> </w:t>
      </w:r>
      <w:r>
        <w:t xml:space="preserve">1998; Chevin &amp; Lande 2015)</w:t>
      </w:r>
      <w:r>
        <w:t xml:space="preserve">, and/or the prediction is likely only supported for specific plastic responses (i.e., active and developmental plasticity) or life-history stages.</w:t>
      </w:r>
    </w:p>
    <w:p>
      <w:pPr>
        <w:pStyle w:val="BodyText"/>
      </w:pPr>
      <w:r>
        <w:t xml:space="preserve">Reversible forms of phenotypic plasticty, such as acclimitisation and behavioural plasticity, are expected to provide greater potential to buffer populations from climate impacts as responses can be fine-tuned to environments</w:t>
      </w:r>
      <w:r>
        <w:t xml:space="preserve"> </w:t>
      </w:r>
      <w:r>
        <w:t xml:space="preserve">(assuming the costs of plasticty are low – 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responses are driven by changes in underlying physiology that can respond rapidly to the environment. However, studies have primarily been focused on mean physiological responses, paying little attention to changes in physiological variability</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For example, most work has focused on the degree to which mean thermal tolerances or acclimation abilities in a population are likely to shift in response to thermal environments</w:t>
      </w:r>
      <w:r>
        <w:t xml:space="preserve"> </w:t>
      </w:r>
      <w:r>
        <w:t xml:space="preserve">(Gunderson &amp; Stillman 2015; 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 Pottier</w:t>
      </w:r>
      <w:r>
        <w:t xml:space="preserve"> </w:t>
      </w:r>
      <w:r>
        <w:rPr>
          <w:iCs/>
          <w:i/>
        </w:rPr>
        <w:t xml:space="preserve">et al.</w:t>
      </w:r>
      <w:r>
        <w:t xml:space="preserve"> </w:t>
      </w:r>
      <w:r>
        <w:t xml:space="preserve">2022)</w:t>
      </w:r>
      <w:r>
        <w:t xml:space="preserve">, neglecting how intrapopulation variability might also be impacted. Understanding how variability in physiological rates – traits thought to be closely closely linked to fitness – are affected by climate change has important implications for understanding a populations capacity for physiological trait evolution because lack of physiological variation is expected to play a role in limiting responses to selection (i.e., the</w:t>
      </w:r>
      <w:r>
        <w:t xml:space="preserve"> </w:t>
      </w:r>
      <w:r>
        <w:t xml:space="preserve">‘</w:t>
      </w:r>
      <w:r>
        <w:t xml:space="preserve">opportunity for selection on a trait</w:t>
      </w:r>
      <w:r>
        <w:t xml:space="preserve">’</w:t>
      </w:r>
      <w:r>
        <w:t xml:space="preserve">)</w:t>
      </w:r>
      <w:r>
        <w:t xml:space="preserve"> </w:t>
      </w:r>
      <w:r>
        <w:t xml:space="preserve">(Pelletier &amp; Coulson 2012)</w:t>
      </w:r>
      <w:r>
        <w:t xml:space="preserve">. Higher physiological variability may also imply greater niche breadth and inform on the extent to which populations are able to buffer against environmental change</w:t>
      </w:r>
      <w:r>
        <w:t xml:space="preserve"> </w:t>
      </w:r>
      <w:r>
        <w:t xml:space="preserve">(Schindler</w:t>
      </w:r>
      <w:r>
        <w:t xml:space="preserve"> </w:t>
      </w:r>
      <w:r>
        <w:rPr>
          <w:iCs/>
          <w:i/>
        </w:rPr>
        <w:t xml:space="preserve">et al.</w:t>
      </w:r>
      <w:r>
        <w:t xml:space="preserve"> </w:t>
      </w:r>
      <w:r>
        <w:t xml:space="preserve">2010; for example, through</w:t>
      </w:r>
      <w:r>
        <w:t xml:space="preserve"> </w:t>
      </w:r>
      <w:r>
        <w:t xml:space="preserve">‘</w:t>
      </w:r>
      <w:r>
        <w:t xml:space="preserve">portfolio effects</w:t>
      </w:r>
      <w:r>
        <w:t xml:space="preserve">’</w:t>
      </w:r>
      <w:r>
        <w:t xml:space="preserve"> </w:t>
      </w:r>
      <w:r>
        <w:t xml:space="preserve">see Bolnick</w:t>
      </w:r>
      <w:r>
        <w:t xml:space="preserve"> </w:t>
      </w:r>
      <w:r>
        <w:rPr>
          <w:iCs/>
          <w:i/>
        </w:rPr>
        <w:t xml:space="preserve">et al.</w:t>
      </w:r>
      <w:r>
        <w:t xml:space="preserve"> </w:t>
      </w:r>
      <w:r>
        <w:t xml:space="preserve">2011; Slatyer</w:t>
      </w:r>
      <w:r>
        <w:t xml:space="preserve"> </w:t>
      </w:r>
      <w:r>
        <w:rPr>
          <w:iCs/>
          <w:i/>
        </w:rPr>
        <w:t xml:space="preserve">et al.</w:t>
      </w:r>
      <w:r>
        <w:t xml:space="preserve"> </w:t>
      </w:r>
      <w:r>
        <w:t xml:space="preserve">2013; Zheng</w:t>
      </w:r>
      <w:r>
        <w:t xml:space="preserve"> </w:t>
      </w:r>
      <w:r>
        <w:rPr>
          <w:iCs/>
          <w:i/>
        </w:rPr>
        <w:t xml:space="preserve">et al.</w:t>
      </w:r>
      <w:r>
        <w:t xml:space="preserve"> </w:t>
      </w:r>
      <w:r>
        <w:t xml:space="preserve">2023)</w:t>
      </w:r>
      <w:r>
        <w:t xml:space="preserve">. Decreases in phenotypic variance may also suggest strong stabilising selection or constraints on performance, depending on the trait</w:t>
      </w:r>
      <w:r>
        <w:t xml:space="preserve"> </w:t>
      </w:r>
      <w:r>
        <w:t xml:space="preserve">(Dewitt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changes in physiological trait variation may also have important ecological consequences by promotong population productivity and stability</w:t>
      </w:r>
      <w:r>
        <w:t xml:space="preserve"> </w:t>
      </w:r>
      <w:r>
        <w:t xml:space="preserve">(Kooijman</w:t>
      </w:r>
      <w:r>
        <w:t xml:space="preserve"> </w:t>
      </w:r>
      <w:r>
        <w:rPr>
          <w:iCs/>
          <w:i/>
        </w:rPr>
        <w:t xml:space="preserve">et al.</w:t>
      </w:r>
      <w:r>
        <w:t xml:space="preserve"> </w:t>
      </w:r>
      <w:r>
        <w:t xml:space="preserve">1989; Agashe 2009)</w:t>
      </w:r>
      <w:r>
        <w:t xml:space="preserve">, species coexistence and ecosystem processes</w:t>
      </w:r>
      <w:r>
        <w:t xml:space="preserve"> </w:t>
      </w:r>
      <w:r>
        <w:t xml:space="preserve">(Imura</w:t>
      </w:r>
      <w:r>
        <w:t xml:space="preserve"> </w:t>
      </w:r>
      <w:r>
        <w:rPr>
          <w:iCs/>
          <w:i/>
        </w:rPr>
        <w:t xml:space="preserve">et al.</w:t>
      </w:r>
      <w:r>
        <w:t xml:space="preserve"> </w:t>
      </w:r>
      <w:r>
        <w:t xml:space="preserve">2003; Bolnick</w:t>
      </w:r>
      <w:r>
        <w:t xml:space="preserve"> </w:t>
      </w:r>
      <w:r>
        <w:rPr>
          <w:iCs/>
          <w:i/>
        </w:rPr>
        <w:t xml:space="preserve">et al.</w:t>
      </w:r>
      <w:r>
        <w:t xml:space="preserve"> </w:t>
      </w:r>
      <w:r>
        <w:t xml:space="preserve">2011)</w:t>
      </w:r>
      <w:r>
        <w:t xml:space="preserve">. The implications of changes in variance could therefore have wide-reaching consequences for understanding the capacity for populations to persist in and adapt to novel environments but to date have been largely ignored</w:t>
      </w:r>
      <w:r>
        <w:t xml:space="preserve"> </w:t>
      </w:r>
      <w:r>
        <w:t xml:space="preserve">(Scheiner</w:t>
      </w:r>
      <w:r>
        <w:t xml:space="preserve"> </w:t>
      </w:r>
      <w:r>
        <w:rPr>
          <w:iCs/>
          <w:i/>
        </w:rPr>
        <w:t xml:space="preserve">et al.</w:t>
      </w:r>
      <w:r>
        <w:t xml:space="preserve"> </w:t>
      </w:r>
      <w:r>
        <w:t xml:space="preserve">2020)</w:t>
      </w:r>
      <w:r>
        <w:t xml:space="preserve">.</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(Hoffmann</w:t>
      </w:r>
      <w:r>
        <w:t xml:space="preserve"> </w:t>
      </w:r>
      <w:r>
        <w:rPr>
          <w:iCs/>
          <w:i/>
        </w:rPr>
        <w:t xml:space="preserve">et al.</w:t>
      </w:r>
      <w:r>
        <w:t xml:space="preserve"> </w:t>
      </w:r>
      <w:r>
        <w:t xml:space="preserve">2013; 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Seebacher</w:t>
      </w:r>
      <w:r>
        <w:t xml:space="preserve"> </w:t>
      </w:r>
      <w:r>
        <w:rPr>
          <w:iCs/>
          <w:i/>
        </w:rPr>
        <w:t xml:space="preserve">et al.</w:t>
      </w:r>
      <w:r>
        <w:t xml:space="preserve"> </w:t>
      </w:r>
      <w:r>
        <w:t xml:space="preserve">2015; Pottier</w:t>
      </w:r>
      <w:r>
        <w:t xml:space="preserve"> </w:t>
      </w:r>
      <w:r>
        <w:rPr>
          <w:iCs/>
          <w:i/>
        </w:rPr>
        <w:t xml:space="preserve">et al.</w:t>
      </w:r>
      <w:r>
        <w:t xml:space="preserve"> </w:t>
      </w:r>
      <w:r>
        <w:t xml:space="preserve">2022)</w:t>
      </w:r>
      <w:r>
        <w:t xml:space="preserve">, it is unclear if the magnitude of physiological adjustment is sufficient. Low oxygen availability has been suggested as a major factor influencing the vulnerability of aquatic ecosystems whereas remaining close to thermal limits and greater water loss is expected to be a stronger constraint on physiological processes in terrestrial ectotherms</w:t>
      </w:r>
      <w:r>
        <w:t xml:space="preserve"> </w:t>
      </w:r>
      <w:r>
        <w:t xml:space="preserve">(Verberk</w:t>
      </w:r>
      <w:r>
        <w:t xml:space="preserve"> </w:t>
      </w:r>
      <w:r>
        <w:rPr>
          <w:iCs/>
          <w:i/>
        </w:rPr>
        <w:t xml:space="preserve">et al.</w:t>
      </w:r>
      <w:r>
        <w:t xml:space="preserve"> </w:t>
      </w:r>
      <w:r>
        <w:t xml:space="preserve">2016)</w:t>
      </w:r>
      <w:r>
        <w:t xml:space="preserve">. Given that terrestrial ectotherms are expected to be closer to their thermal limits increases in temperature may have a stronger impact on variation in physiological rates within populations compared to aqautic ectotherms. Reduced variability may result from variances being eroded by strong selection, an inability to adjust physiological rates, or a combination of both. Changes in physiological rate variance may therefore have important cascading effects on energy transfer and productivity for populations across these different ecosystems that are as of yet poorly measured and modelled.</w:t>
      </w:r>
    </w:p>
    <w:p>
      <w:pPr>
        <w:pStyle w:val="BodyText"/>
      </w:pPr>
      <w:r>
        <w:t xml:space="preserve">Here, we use new effect sizes and meta-analysis to re-evaluate the degree to which aquatic and terrestrial ectotherms are capable of physiological plasticity. We then expand these effect sizes to allow for comparisons of variance in physiological rates to ask the following questions: 1) How much is variance in physiological rates expected to change, if at all, as temperatures rise? 2) Are temperture effects on plastic adjustments in physiolgical rates larger than changes in variance across aquatic and terrestrial ectotherms? 3) Are changes in plasticity or variance in physiological rates impacted by a population’s past climate history? and 4) How are means and variances in physiological rates expected to change under climate change?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1.22,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of climate warming will have on opportunity for selection.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4.3.1) using</w:t>
      </w:r>
      <w:r>
        <w:t xml:space="preserve"> </w:t>
      </w:r>
      <w:r>
        <w:rPr>
          <w:iCs/>
          <w:i/>
        </w:rPr>
        <w:t xml:space="preserve">brms</w:t>
      </w:r>
      <w:r>
        <w:t xml:space="preserve"> </w:t>
      </w:r>
      <w:r>
        <w:t xml:space="preserve">(vers. 2.20.4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3.1.0,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3.9.0,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1.9.16,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80"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w:t>
      </w:r>
    </w:p>
    <w:p>
      <w:pPr>
        <w:pStyle w:val="BodyText"/>
      </w:pPr>
      <w:r>
        <w:t xml:space="preserve">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relationships among taxa and species ecology explained little variation in acute and acclimation repsonses (Species: 2.39% , 95% CI: 0.01 to 8.1%; Phylogeny: 2.89% , 95% CI: 0 to 12.94%).</w:t>
      </w:r>
    </w:p>
    <w:p>
      <w:pPr>
        <w:pStyle w:val="BodyText"/>
      </w:pPr>
      <w:r>
        <w:t xml:space="preserve">Different trait categories showed different accclimation responses across habitat types, however, they mirrored patterns seen overall (</w:t>
      </w:r>
      <w:hyperlink w:anchor="fig-2">
        <w:r>
          <w:rPr>
            <w:rStyle w:val="Hyperlink"/>
          </w:rPr>
          <w:t xml:space="preserve">Figure 2</w:t>
        </w:r>
      </w:hyperlink>
      <w:r>
        <w:t xml:space="preserve">). Acclimation capacity also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juveniles (</w:t>
      </w:r>
      <w:hyperlink w:anchor="fig-3">
        <w:r>
          <w:rPr>
            <w:rStyle w:val="Hyperlink"/>
          </w:rPr>
          <w:t xml:space="preserve">Figure 3</w:t>
        </w:r>
      </w:hyperlink>
      <w:r>
        <w:t xml:space="preserve">) (Adult-Juvenile (Acute): 0, 95% CI: -0.21 to 0.2,</w:t>
      </w:r>
      <w:r>
        <w:t xml:space="preserve"> </w:t>
      </w:r>
      <m:oMath>
        <m:sSub>
          <m:e>
            <m:r>
              <m:t>p</m:t>
            </m:r>
          </m:e>
          <m:sub>
            <m:r>
              <m:t>M</m:t>
            </m:r>
            <m:r>
              <m:t>C</m:t>
            </m:r>
            <m:r>
              <m:t>M</m:t>
            </m:r>
            <m:r>
              <m:t>C</m:t>
            </m:r>
          </m:sub>
        </m:sSub>
      </m:oMath>
      <w:r>
        <w:t xml:space="preserve"> </w:t>
      </w:r>
      <w:r>
        <w:t xml:space="preserve">= 0.96; Adult-Juvenile (Acclimation): 0.05, 95% CI: -0.16 to 0.38,</w:t>
      </w:r>
      <w:r>
        <w:t xml:space="preserve"> </w:t>
      </w:r>
      <m:oMath>
        <m:sSub>
          <m:e>
            <m:r>
              <m:t>p</m:t>
            </m:r>
          </m:e>
          <m:sub>
            <m:r>
              <m:t>M</m:t>
            </m:r>
            <m:r>
              <m:t>C</m:t>
            </m:r>
            <m:r>
              <m:t>M</m:t>
            </m:r>
            <m:r>
              <m:t>C</m:t>
            </m:r>
          </m:sub>
        </m:sSub>
      </m:oMath>
      <w:r>
        <w:t xml:space="preserve"> </w:t>
      </w:r>
      <w:r>
        <w:t xml:space="preserve">= 0.83).</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65"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was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physiological rate variance at high temperatures (8.62%, 95% CI: 0.41 to 21.78,</w:t>
      </w:r>
      <w:r>
        <w:t xml:space="preserve"> </w:t>
      </w:r>
      <m:oMath>
        <m:sSub>
          <m:e>
            <m:r>
              <m:t>p</m:t>
            </m:r>
          </m:e>
          <m:sub>
            <m:r>
              <m:t>M</m:t>
            </m:r>
            <m:r>
              <m:t>C</m:t>
            </m:r>
            <m:r>
              <m:t>M</m:t>
            </m:r>
            <m:r>
              <m:t>C</m:t>
            </m:r>
          </m:sub>
        </m:sSub>
      </m:oMath>
      <w:r>
        <w:t xml:space="preserve"> </w:t>
      </w:r>
      <w:r>
        <w:t xml:space="preserve">= 0.33).</w:t>
      </w:r>
    </w:p>
    <w:p>
      <w:pPr>
        <w:pStyle w:val="BodyText"/>
      </w:pPr>
      <w:r>
        <w:t xml:space="preserve">The total proportion of heterogeneity in</w:t>
      </w:r>
      <w:r>
        <w:t xml:space="preserve"> </w:t>
      </w:r>
      <m:oMath>
        <m:r>
          <m:t>l</m:t>
        </m:r>
        <m:r>
          <m:t>n</m:t>
        </m:r>
        <m:r>
          <m:t>C</m:t>
        </m:r>
        <m:r>
          <m:t>V</m:t>
        </m:r>
        <m:sSub>
          <m:e>
            <m:r>
              <m:t>R</m:t>
            </m:r>
          </m:e>
          <m:sub>
            <m:sSub>
              <m:e>
                <m:r>
                  <m:t>Q</m:t>
                </m:r>
              </m:e>
              <m:sub>
                <m:r>
                  <m:t>10</m:t>
                </m:r>
              </m:sub>
            </m:sSub>
          </m:sub>
        </m:sSub>
      </m:oMath>
      <w:r>
        <w:t xml:space="preserve"> </w:t>
      </w:r>
      <w:r>
        <w:t xml:space="preserve">was lower compared to</w:t>
      </w:r>
      <w:r>
        <w:t xml:space="preserve"> </w:t>
      </w:r>
      <m:oMath>
        <m:r>
          <m:t>l</m:t>
        </m:r>
        <m:r>
          <m:t>n</m:t>
        </m:r>
        <m:r>
          <m:t>R</m:t>
        </m:r>
        <m:sSub>
          <m:e>
            <m:r>
              <m:t>R</m:t>
            </m:r>
          </m:e>
          <m:sub>
            <m:sSub>
              <m:e>
                <m:r>
                  <m:t>Q</m:t>
                </m:r>
              </m:e>
              <m:sub>
                <m:r>
                  <m:t>10</m:t>
                </m:r>
              </m:sub>
            </m:sSub>
          </m:sub>
        </m:sSub>
      </m:oMath>
      <w:r>
        <w:t xml:space="preserve"> </w:t>
      </w:r>
      <w:r>
        <w:t xml:space="preserve">(</w:t>
      </w:r>
      <m:oMath>
        <m:sSubSup>
          <m:e>
            <m:r>
              <m:t>I</m:t>
            </m:r>
          </m:e>
          <m:sub>
            <m:r>
              <m:t>s</m:t>
            </m:r>
            <m:r>
              <m:t>v</m:t>
            </m:r>
          </m:sub>
          <m:sup>
            <m:r>
              <m:t>2</m:t>
            </m:r>
          </m:sup>
        </m:sSubSup>
      </m:oMath>
      <w:r>
        <w:t xml:space="preserve"> </w:t>
      </w:r>
      <w:r>
        <w:t xml:space="preserve">= 23.96, 95% CI: 20.36 to 27.27), with most variation being driven by between study and trait differences (See supplemental</w:t>
      </w:r>
      <w:r>
        <w:t xml:space="preserve"> </w:t>
      </w:r>
      <w:hyperlink w:anchor="fig-s3">
        <w:r>
          <w:rPr>
            <w:rStyle w:val="Hyperlink"/>
          </w:rPr>
          <w:t xml:space="preserve">Figure 10</w:t>
        </w:r>
      </w:hyperlink>
      <w:r>
        <w:t xml:space="preserve">). Each life-history stage exhibited the same pattern of variance change in each of the habitats (</w:t>
      </w:r>
      <w:hyperlink w:anchor="fig-cvrlh">
        <w:r>
          <w:rPr>
            <w:rStyle w:val="Hyperlink"/>
          </w:rPr>
          <w:t xml:space="preserve">Figure 4</w:t>
        </w:r>
      </w:hyperlink>
      <w:r>
        <w:t xml:space="preserve">). While traits did differ in whether they exhibited a reduction in variation in physiological rates at high temperatures reduced variance was prominant for resting metabolic rates and sprint speed (</w:t>
      </w:r>
      <w:hyperlink w:anchor="fig-cvrtrait">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0" w:name="fig-cvrlh"/>
          <w:p>
            <w:pPr>
              <w:pStyle w:val="Figure"/>
              <w:jc w:val="center"/>
            </w:pPr>
            <w:r>
              <w:drawing>
                <wp:inline>
                  <wp:extent cx="6680200" cy="2147207"/>
                  <wp:effectExtent b="0" l="0" r="0" t="0"/>
                  <wp:docPr descr="" title="" id="58" name="Picture"/>
                  <a:graphic>
                    <a:graphicData uri="http://schemas.openxmlformats.org/drawingml/2006/picture">
                      <pic:pic>
                        <pic:nvPicPr>
                          <pic:cNvPr descr="ms_files/figure-docx/fig-cvrlh-1.png" id="59" name="Picture"/>
                          <pic:cNvPicPr>
                            <a:picLocks noChangeArrowheads="1" noChangeAspect="1"/>
                          </pic:cNvPicPr>
                        </pic:nvPicPr>
                        <pic:blipFill>
                          <a:blip r:embed="rId57"/>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Predicted mean</w:t>
            </w:r>
            <w:r>
              <w:t xml:space="preserve"> </w:t>
            </w:r>
            <m:oMath>
              <m:r>
                <m:t>l</m:t>
              </m:r>
              <m:r>
                <m:t>n</m:t>
              </m:r>
              <m:r>
                <m:t>C</m:t>
              </m:r>
              <m:r>
                <m:t>V</m:t>
              </m:r>
              <m:sSub>
                <m:e>
                  <m:r>
                    <m:t>R</m:t>
                  </m:r>
                </m:e>
                <m:sub>
                  <m:sSub>
                    <m:e>
                      <m:r>
                        <m:t>Q</m:t>
                      </m:r>
                    </m:e>
                    <m:sub>
                      <m:r>
                        <m:t>10</m:t>
                      </m:r>
                    </m:sub>
                  </m:sSub>
                </m:sub>
              </m:sSub>
            </m:oMath>
            <w:r>
              <w:t xml:space="preserve"> </w:t>
            </w:r>
            <w:r>
              <w:t xml:space="preserve">for adult and juevenile life-history stages for A) Marine, B) Freshwater and C) Terrestrial ectotherms.</w:t>
            </w:r>
          </w:p>
          <w:bookmarkEnd w:id="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 w:name="fig-cvrtrait"/>
          <w:p>
            <w:pPr>
              <w:pStyle w:val="Figure"/>
              <w:jc w:val="center"/>
            </w:pPr>
            <w:r>
              <w:drawing>
                <wp:inline>
                  <wp:extent cx="6680200" cy="2183911"/>
                  <wp:effectExtent b="0" l="0" r="0" t="0"/>
                  <wp:docPr descr="" title="" id="62" name="Picture"/>
                  <a:graphic>
                    <a:graphicData uri="http://schemas.openxmlformats.org/drawingml/2006/picture">
                      <pic:pic>
                        <pic:nvPicPr>
                          <pic:cNvPr descr="ms_files/figure-docx/fig-cvrtrait-1.png" id="63" name="Picture"/>
                          <pic:cNvPicPr>
                            <a:picLocks noChangeArrowheads="1" noChangeAspect="1"/>
                          </pic:cNvPicPr>
                        </pic:nvPicPr>
                        <pic:blipFill>
                          <a:blip r:embed="rId61"/>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Acute and Acclimation</w:t>
            </w:r>
            <w:r>
              <w:t xml:space="preserve"> </w:t>
            </w:r>
            <m:oMath>
              <m:r>
                <m:t>l</m:t>
              </m:r>
              <m:r>
                <m:t>n</m:t>
              </m:r>
              <m:r>
                <m:t>C</m:t>
              </m:r>
              <m:r>
                <m:t>V</m:t>
              </m:r>
              <m:sSub>
                <m:e>
                  <m:r>
                    <m:t>R</m:t>
                  </m:r>
                </m:e>
                <m:sub>
                  <m:sSub>
                    <m:e>
                      <m:r>
                        <m:t>Q</m:t>
                      </m:r>
                    </m:e>
                    <m:sub>
                      <m:r>
                        <m:t>10</m:t>
                      </m:r>
                    </m:sub>
                  </m:sSub>
                </m:sub>
              </m:sSub>
            </m:oMath>
            <w:r>
              <w:t xml:space="preserve"> </w:t>
            </w:r>
            <w:r>
              <w:t xml:space="preserve">across traits for A) marine, B) freshwater and C) terrestrial systems</w:t>
            </w:r>
          </w:p>
          <w:bookmarkEnd w:id="64"/>
        </w:tc>
      </w:tr>
    </w:tbl>
    <w:bookmarkEnd w:id="65"/>
    <w:bookmarkStart w:id="74" w:name="X9be107047c6edc390df109736c1620895866bda"/>
    <w:p>
      <w:pPr>
        <w:pStyle w:val="Heading3"/>
      </w:pPr>
      <w:r>
        <w:rPr>
          <w:iCs/>
          <w:i/>
        </w:rPr>
        <w:t xml:space="preserve">Past climate does not influence acclimation capacity or expected change in variance</w:t>
      </w:r>
    </w:p>
    <w:p>
      <w:pPr>
        <w:pStyle w:val="FirstParagraph"/>
      </w:pPr>
      <w:r>
        <w:t xml:space="preserve">Thermal variability (i.e.,</w:t>
      </w:r>
      <w:r>
        <w:t xml:space="preserve"> </w:t>
      </w:r>
      <m:oMath>
        <m:r>
          <m:t>C</m:t>
        </m:r>
        <m:r>
          <m:t>V</m:t>
        </m:r>
      </m:oMath>
      <w:r>
        <w:t xml:space="preserve">) and predictability a population experienced in its past did not explain acclimation capacity or changes in opportunity for selection (i.e., the change in physiological variability) among terrestrial, marine or freshwater populations (</w:t>
      </w:r>
      <w:hyperlink w:anchor="fig-4">
        <w:r>
          <w:rPr>
            <w:rStyle w:val="Hyperlink"/>
          </w:rPr>
          <w:t xml:space="preserve">Figure 6</w:t>
        </w:r>
      </w:hyperlink>
      <w:r>
        <w:t xml:space="preserve">;</w:t>
      </w:r>
      <w:r>
        <w:t xml:space="preserve"> </w:t>
      </w:r>
      <w:hyperlink w:anchor="fig-5">
        <w:r>
          <w:rPr>
            <w:rStyle w:val="Hyperlink"/>
          </w:rPr>
          <w:t xml:space="preserve">Figure 7</w:t>
        </w:r>
      </w:hyperlink>
      <w:r>
        <w:t xml:space="preserve">).</w:t>
      </w:r>
    </w:p>
    <w:tbl>
      <w:tblPr>
        <w:tblStyle w:val="Table"/>
        <w:tblW w:type="pct" w:w="5000"/>
        <w:tblLook w:firstRow="0" w:lastRow="0" w:firstColumn="0" w:lastColumn="0" w:noHBand="0" w:noVBand="0" w:val="0000"/>
      </w:tblPr>
      <w:tblGrid>
        <w:gridCol w:w="7920"/>
      </w:tblGrid>
      <w:tr>
        <w:tc>
          <w:tcPr/>
          <w:bookmarkStart w:id="69" w:name="fig-4"/>
          <w:p>
            <w:pPr>
              <w:pStyle w:val="Figure"/>
              <w:jc w:val="center"/>
            </w:pPr>
            <w:r>
              <w:drawing>
                <wp:inline>
                  <wp:extent cx="6680200" cy="7087529"/>
                  <wp:effectExtent b="0" l="0" r="0" t="0"/>
                  <wp:docPr descr="" title="" id="67" name="Picture"/>
                  <a:graphic>
                    <a:graphicData uri="http://schemas.openxmlformats.org/drawingml/2006/picture">
                      <pic:pic>
                        <pic:nvPicPr>
                          <pic:cNvPr descr="ms_files/figure-docx/fig-4-1.png" id="68" name="Picture"/>
                          <pic:cNvPicPr>
                            <a:picLocks noChangeArrowheads="1" noChangeAspect="1"/>
                          </pic:cNvPicPr>
                        </pic:nvPicPr>
                        <pic:blipFill>
                          <a:blip r:embed="rId6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 w:name="fig-5"/>
          <w:p>
            <w:pPr>
              <w:pStyle w:val="Figure"/>
              <w:jc w:val="center"/>
            </w:pPr>
            <w:r>
              <w:drawing>
                <wp:inline>
                  <wp:extent cx="6680200" cy="7087529"/>
                  <wp:effectExtent b="0" l="0" r="0" t="0"/>
                  <wp:docPr descr="" title="" id="71" name="Picture"/>
                  <a:graphic>
                    <a:graphicData uri="http://schemas.openxmlformats.org/drawingml/2006/picture">
                      <pic:pic>
                        <pic:nvPicPr>
                          <pic:cNvPr descr="ms_files/figure-docx/fig-5-1.png" id="72" name="Picture"/>
                          <pic:cNvPicPr>
                            <a:picLocks noChangeArrowheads="1" noChangeAspect="1"/>
                          </pic:cNvPicPr>
                        </pic:nvPicPr>
                        <pic:blipFill>
                          <a:blip r:embed="rId70"/>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73"/>
        </w:tc>
      </w:tr>
    </w:tbl>
    <w:bookmarkEnd w:id="74"/>
    <w:bookmarkStart w:id="79"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8</w:t>
        </w:r>
      </w:hyperlink>
      <w:r>
        <w:t xml:space="preserve"> </w:t>
      </w:r>
      <w:r>
        <w:t xml:space="preserve">A-C). Projected changes in the opportunity for selection were highly variable across the globe, with some regions showing a decrease in the opportunity for selection, while others showing an increase (</w:t>
      </w:r>
      <w:hyperlink w:anchor="fig-fig6">
        <w:r>
          <w:rPr>
            <w:rStyle w:val="Hyperlink"/>
          </w:rPr>
          <w:t xml:space="preserve">Figure 8</w:t>
        </w:r>
      </w:hyperlink>
      <w:r>
        <w:t xml:space="preserve"> </w:t>
      </w:r>
      <w:r>
        <w:t xml:space="preserve">D). Out of the 188 populations variance was predicted to decrease in 97.87% of the locations.</w:t>
      </w:r>
    </w:p>
    <w:p>
      <w:pPr>
        <w:pStyle w:val="BodyText"/>
      </w:pPr>
      <w:r>
        <w:t xml:space="preserve">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0.07% change in variance for freshwater systems (95% CI: -6.51 to 6.28%,</w:t>
      </w:r>
      <w:r>
        <w:t xml:space="preserve"> </w:t>
      </w:r>
      <m:oMath>
        <m:sSub>
          <m:e>
            <m:r>
              <m:t>p</m:t>
            </m:r>
          </m:e>
          <m:sub>
            <m:r>
              <m:t>M</m:t>
            </m:r>
            <m:r>
              <m:t>C</m:t>
            </m:r>
            <m:r>
              <m:t>M</m:t>
            </m:r>
            <m:r>
              <m:t>C</m:t>
            </m:r>
          </m:sub>
        </m:sSub>
      </m:oMath>
      <w:r>
        <w:t xml:space="preserve"> </w:t>
      </w:r>
      <w:r>
        <w:t xml:space="preserve">= 0.95), whereas we expect a 3.37% reduction in variance for marine systems (95% CI: -7.09 to 0.64%,</w:t>
      </w:r>
      <w:r>
        <w:t xml:space="preserve"> </w:t>
      </w:r>
      <m:oMath>
        <m:sSub>
          <m:e>
            <m:r>
              <m:t>p</m:t>
            </m:r>
          </m:e>
          <m:sub>
            <m:r>
              <m:t>M</m:t>
            </m:r>
            <m:r>
              <m:t>C</m:t>
            </m:r>
            <m:r>
              <m:t>M</m:t>
            </m:r>
            <m:r>
              <m:t>C</m:t>
            </m:r>
          </m:sub>
        </m:sSub>
      </m:oMath>
      <w:r>
        <w:t xml:space="preserve"> </w:t>
      </w:r>
      <w:r>
        <w:t xml:space="preserve">= 0.28) and a 12.14% reduction in variance for terrestrial systems (95% CI: -19.32 to -6.13%,</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8" w:name="fig-fig6"/>
          <w:p>
            <w:pPr>
              <w:pStyle w:val="Figure"/>
              <w:jc w:val="center"/>
            </w:pPr>
            <w:r>
              <w:drawing>
                <wp:inline>
                  <wp:extent cx="6680200" cy="8650002"/>
                  <wp:effectExtent b="0" l="0" r="0" t="0"/>
                  <wp:docPr descr="" title="" id="76" name="Picture"/>
                  <a:graphic>
                    <a:graphicData uri="http://schemas.openxmlformats.org/drawingml/2006/picture">
                      <pic:pic>
                        <pic:nvPicPr>
                          <pic:cNvPr descr="ms_files/figure-docx/fig-fig6-1.png" id="77" name="Picture"/>
                          <pic:cNvPicPr>
                            <a:picLocks noChangeArrowheads="1" noChangeAspect="1"/>
                          </pic:cNvPicPr>
                        </pic:nvPicPr>
                        <pic:blipFill>
                          <a:blip r:embed="rId75"/>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8"/>
        </w:tc>
      </w:tr>
    </w:tbl>
    <w:bookmarkEnd w:id="79"/>
    <w:bookmarkEnd w:id="80"/>
    <w:bookmarkStart w:id="87" w:name="discussion"/>
    <w:p>
      <w:pPr>
        <w:pStyle w:val="Heading2"/>
      </w:pPr>
      <w:r>
        <w:rPr>
          <w:bCs/>
          <w:b/>
        </w:rPr>
        <w:t xml:space="preserve">Discussion</w:t>
      </w:r>
    </w:p>
    <w:p>
      <w:pPr>
        <w:pStyle w:val="FirstParagraph"/>
      </w:pPr>
      <w:r>
        <w:t xml:space="preserve">Understanding acclimation capacity and how variation in physiological rates change across populations and species is important for predicting the ecological and evolutionary consequences of climate change</w:t>
      </w:r>
      <w:r>
        <w:t xml:space="preserve"> </w:t>
      </w:r>
      <w:r>
        <w:t xml:space="preserve">(Chevin</w:t>
      </w:r>
      <w:r>
        <w:t xml:space="preserve"> </w:t>
      </w:r>
      <w:r>
        <w:rPr>
          <w:iCs/>
          <w:i/>
        </w:rPr>
        <w:t xml:space="preserve">et al.</w:t>
      </w:r>
      <w:r>
        <w:t xml:space="preserve"> </w:t>
      </w:r>
      <w:r>
        <w:t xml:space="preserve">2010; Bolnick</w:t>
      </w:r>
      <w:r>
        <w:t xml:space="preserve"> </w:t>
      </w:r>
      <w:r>
        <w:rPr>
          <w:iCs/>
          <w:i/>
        </w:rPr>
        <w:t xml:space="preserve">et al.</w:t>
      </w:r>
      <w:r>
        <w:t xml:space="preserve"> </w:t>
      </w:r>
      <w:r>
        <w:t xml:space="preserve">2011; Chevin &amp; Hoffmann 2017)</w:t>
      </w:r>
      <w:r>
        <w:t xml:space="preserve">. Here we show that variance in physiological rates is expected to decrease for ectotherms as temperatures increase, but particularly so for terrestrial ectotherms (~28%). Decreases in variance of physiological rates is larger than the expected benefits from acclimation in marine and terrestrial ectotherms (marine: 9% acclimation vs. 15% reduction in variance; terrestrial: no acclimation vs 28% reduction in variance). Such effects are expected to result in a decrease in the variability in physiologcial rates for marine and terrestrial ectotherms between ~4-13% under future climate change projections. Our results provide a more complete picture of the impacts that climate warming will have on ectotherm populations, with important ecological and evolutionary implications that require further empirical and theoretical attention.</w:t>
      </w:r>
    </w:p>
    <w:bookmarkStart w:id="81" w:name="X657ec10c391aa8094cd939cca96c3ef7faa3f80"/>
    <w:p>
      <w:pPr>
        <w:pStyle w:val="Heading3"/>
      </w:pPr>
      <w:r>
        <w:rPr>
          <w:bCs/>
          <w:b/>
        </w:rPr>
        <w:t xml:space="preserve">Acclimation capacity and opportunity for selection is limited in response to climate change</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However,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Faster rates of acclimation would therefore result in the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r>
        <w:t xml:space="preserve"> </w:t>
      </w:r>
      <w:r>
        <w:t xml:space="preserve">assuming a fraction of this variation is heritable and/or it weakens selection</w:t>
      </w:r>
    </w:p>
    <w:bookmarkEnd w:id="81"/>
    <w:bookmarkStart w:id="82" w:name="X35427b2c82469f3078f1834d2fe3071385d2c0f"/>
    <w:p>
      <w:pPr>
        <w:pStyle w:val="Heading3"/>
      </w:pPr>
      <w:r>
        <w:rPr>
          <w:bCs/>
          <w:b/>
        </w:rPr>
        <w:t xml:space="preserve">No signature of past climate on capacity for acclimation or opportunity for selection</w:t>
      </w:r>
    </w:p>
    <w:p>
      <w:pPr>
        <w:pStyle w:val="FirstParagraph"/>
      </w:pPr>
      <w:r>
        <w:t xml:space="preserve">Theoretical models predict that plasticity should evolve in populatons experiencing greater environmental variability (spatial or temporal), particularly if oscillations are predictable over time making cues more reliable</w:t>
      </w:r>
      <w:r>
        <w:t xml:space="preserve"> </w:t>
      </w:r>
      <w:r>
        <w:t xml:space="preserve">(Lande 2009; Chevin</w:t>
      </w:r>
      <w:r>
        <w:t xml:space="preserve"> </w:t>
      </w:r>
      <w:r>
        <w:rPr>
          <w:iCs/>
          <w:i/>
        </w:rPr>
        <w:t xml:space="preserve">et al.</w:t>
      </w:r>
      <w:r>
        <w:t xml:space="preserve"> </w:t>
      </w:r>
      <w:r>
        <w:t xml:space="preserve">2010; Murren</w:t>
      </w:r>
      <w:r>
        <w:t xml:space="preserve"> </w:t>
      </w:r>
      <w:r>
        <w:rPr>
          <w:iCs/>
          <w:i/>
        </w:rPr>
        <w:t xml:space="preserve">et al.</w:t>
      </w:r>
      <w:r>
        <w:t xml:space="preserve"> </w:t>
      </w:r>
      <w:r>
        <w:t xml:space="preserve">2015; Hendry 2016; Nunney 2016; Chevin &amp; Hoffmann 2017)</w:t>
      </w:r>
      <w:r>
        <w:t xml:space="preserve">. Higher spatial and temporal heterogenetiy in terrestrial ecosystems</w:t>
      </w:r>
      <w:r>
        <w:t xml:space="preserve"> </w:t>
      </w:r>
      <w:r>
        <w:t xml:space="preserve">(Steele</w:t>
      </w:r>
      <w:r>
        <w:t xml:space="preserve"> </w:t>
      </w:r>
      <w:r>
        <w:rPr>
          <w:iCs/>
          <w:i/>
        </w:rPr>
        <w:t xml:space="preserve">et al.</w:t>
      </w:r>
      <w:r>
        <w:t xml:space="preserve"> </w:t>
      </w:r>
      <w:r>
        <w:t xml:space="preserve">2019)</w:t>
      </w:r>
      <w:r>
        <w:t xml:space="preserve"> </w:t>
      </w:r>
      <w:r>
        <w:t xml:space="preserve">suggests that plasticity should be more likely evolve, however, we did not find evidence to this effect; possibly because of the lower predictability of thermal environments over time making cues unreliable</w:t>
      </w:r>
      <w:r>
        <w:t xml:space="preserve"> </w:t>
      </w:r>
      <w:r>
        <w:t xml:space="preserve">(Hendry 2016)</w:t>
      </w:r>
      <w:r>
        <w:t xml:space="preserve">. Empirical evidence properly testing these predictions is also scant.</w:t>
      </w:r>
      <w:r>
        <w:t xml:space="preserve"> </w:t>
      </w:r>
      <w:r>
        <w:t xml:space="preserve">Leung</w:t>
      </w:r>
      <w:r>
        <w:t xml:space="preserve"> </w:t>
      </w:r>
      <w:r>
        <w:rPr>
          <w:iCs/>
          <w:i/>
        </w:rPr>
        <w:t xml:space="preserve">et al.</w:t>
      </w:r>
      <w:r>
        <w:t xml:space="preserve"> </w:t>
      </w:r>
      <w:r>
        <w:t xml:space="preserve">(2020)</w:t>
      </w:r>
      <w:r>
        <w:t xml:space="preserve"> </w:t>
      </w:r>
      <w:r>
        <w:t xml:space="preserve">recently showed that greater plasticty in morphological traits did evolve in experimental algae populations, however, work in seed beetles. Our results suggest that such theoretical explanations may not be general but rather specific to the population, context and trait in question; a point emphaised by others.</w:t>
      </w:r>
    </w:p>
    <w:bookmarkEnd w:id="82"/>
    <w:bookmarkStart w:id="83" w:name="X8b678a72bb2e83263e85a2c9c585f524553e933"/>
    <w:p>
      <w:pPr>
        <w:pStyle w:val="Heading3"/>
      </w:pPr>
      <w:r>
        <w:rPr>
          <w:iCs/>
          <w:i/>
          <w:bCs/>
          <w:b/>
        </w:rPr>
        <w:t xml:space="preserve">Ecological consequences of reduced variation in physiological Rates</w:t>
      </w:r>
    </w:p>
    <w:p>
      <w:pPr>
        <w:pStyle w:val="FirstParagraph"/>
      </w:pPr>
      <w:r>
        <w:t xml:space="preserve">Variance in physiological rates decreases substantially at high temperatures with effects being especially pronouced in terrestrial ecosystems and for key traits such as metabolism and performance. Changes in variability in physiological rates, particularly energy demand, could have important consequences on the flow of energy within and between populations, communities and ecosystems that can have important consequences for population dynamics</w:t>
      </w:r>
      <w:r>
        <w:t xml:space="preserve"> </w:t>
      </w:r>
      <w:r>
        <w:t xml:space="preserve">(Hendry 2016)</w:t>
      </w:r>
      <w:r>
        <w:t xml:space="preserve">. More variable populations, genetically and/or phenotypically, are predicted to be associated with broader niches, reduced intraspecific competition, increased growth rate, decreased vulnerability to environmental change and lower extinction risk</w:t>
      </w:r>
      <w:r>
        <w:t xml:space="preserve"> </w:t>
      </w:r>
      <w:r>
        <w:t xml:space="preserve">(Bolnick</w:t>
      </w:r>
      <w:r>
        <w:t xml:space="preserve"> </w:t>
      </w:r>
      <w:r>
        <w:rPr>
          <w:iCs/>
          <w:i/>
        </w:rPr>
        <w:t xml:space="preserve">et al.</w:t>
      </w:r>
      <w:r>
        <w:t xml:space="preserve"> </w:t>
      </w:r>
      <w:r>
        <w:t xml:space="preserve">2011; Forsman 2014, 2015; Hendry 2016)</w:t>
      </w:r>
      <w:r>
        <w:t xml:space="preserve">. For examaple,</w:t>
      </w:r>
      <w:r>
        <w:t xml:space="preserve"> </w:t>
      </w:r>
      <w:r>
        <w:t xml:space="preserve">Kooijman</w:t>
      </w:r>
      <w:r>
        <w:t xml:space="preserve"> </w:t>
      </w:r>
      <w:r>
        <w:rPr>
          <w:iCs/>
          <w:i/>
        </w:rPr>
        <w:t xml:space="preserve">et al.</w:t>
      </w:r>
      <w:r>
        <w:t xml:space="preserve"> </w:t>
      </w:r>
      <w:r>
        <w:t xml:space="preserve">(1989)</w:t>
      </w:r>
      <w:r>
        <w:t xml:space="preserve"> </w:t>
      </w:r>
      <w:r>
        <w:t xml:space="preserve">integrated individual variation in dynamic energy budget (DEB) models developed for</w:t>
      </w:r>
      <w:r>
        <w:t xml:space="preserve"> </w:t>
      </w:r>
      <w:r>
        <w:rPr>
          <w:iCs/>
          <w:i/>
        </w:rPr>
        <w:t xml:space="preserve">Daphnia magna</w:t>
      </w:r>
      <w:r>
        <w:t xml:space="preserve">. They showed that greater between-individual variation in DEB parameters led to less extreme population occilations compared to scenerios with no variation</w:t>
      </w:r>
      <w:r>
        <w:t xml:space="preserve"> </w:t>
      </w:r>
      <w:r>
        <w:t xml:space="preserve">(Kooijman</w:t>
      </w:r>
      <w:r>
        <w:t xml:space="preserve"> </w:t>
      </w:r>
      <w:r>
        <w:rPr>
          <w:iCs/>
          <w:i/>
        </w:rPr>
        <w:t xml:space="preserve">et al.</w:t>
      </w:r>
      <w:r>
        <w:t xml:space="preserve"> </w:t>
      </w:r>
      <w:r>
        <w:t xml:space="preserve">1989)</w:t>
      </w:r>
      <w:r>
        <w:t xml:space="preserve">. The differences in variance change across major habitat types suggest that terrestrial ecotherms will likely face an onslaught of ecological and evolutionary challenges which will mean greater rates of extintion and reduced productivity – predictions already reinforced by a number of authorities . To date, however, an appreciation for the wide-reaching impacts changes in variance may have on populations and communities remains limited. Indeed, the ecological consequences of changes in physiological rate variance across aquatic and terrestrial ecosystems remain unclear. Such insight will require the development of theoretical models that better integrate intrapopulation variation into mechanistic physiological models or ones that better capture stochasticity such as individual based models.</w:t>
      </w:r>
    </w:p>
    <w:p>
      <w:pPr>
        <w:pStyle w:val="BodyText"/>
      </w:pPr>
      <w:r>
        <w:t xml:space="preserve">The dearth of empirical data demonstrating changes in variance paired with a lack of theoretical models</w:t>
      </w:r>
      <w:r>
        <w:t xml:space="preserve"> </w:t>
      </w:r>
      <w:r>
        <w:t xml:space="preserve">- buckley 2014, - Lawton 1991, - Nisbet</w:t>
      </w:r>
    </w:p>
    <w:bookmarkEnd w:id="83"/>
    <w:bookmarkStart w:id="84" w:name="X5501e781cf3248c8f3dbfce468905afd8050bc6"/>
    <w:p>
      <w:pPr>
        <w:pStyle w:val="Heading3"/>
      </w:pPr>
      <w:r>
        <w:rPr>
          <w:bCs/>
          <w:b/>
        </w:rPr>
        <w:t xml:space="preserve">Acute and acclimation responses of wild ectotherms are lower in warmer environments</w:t>
      </w:r>
    </w:p>
    <w:bookmarkEnd w:id="84"/>
    <w:bookmarkStart w:id="85" w:name="X8a73f35bbf30664905ee81de6774b7e0b74408a"/>
    <w:p>
      <w:pPr>
        <w:pStyle w:val="Heading3"/>
      </w:pPr>
      <w:r>
        <w:rPr>
          <w:bCs/>
          <w:b/>
        </w:rPr>
        <w:t xml:space="preserve">The opportunity for selection is expected to decrease for wild ectotherms under climate change</w:t>
      </w:r>
    </w:p>
    <w:bookmarkEnd w:id="85"/>
    <w:bookmarkStart w:id="86" w:name="limitations-and-future-directions"/>
    <w:p>
      <w:pPr>
        <w:pStyle w:val="Heading3"/>
      </w:pPr>
      <w:r>
        <w:rPr>
          <w:bCs/>
          <w:b/>
        </w:rPr>
        <w:t xml:space="preserve">Limitations and future directions</w:t>
      </w:r>
    </w:p>
    <w:p>
      <w:pPr>
        <w:pStyle w:val="FirstParagraph"/>
      </w:pPr>
      <w:r>
        <w:t xml:space="preserve">An enhanced knowledge of how variation in physiological rates vary across populations and species, and the degree to which they can be adjusted in response to the environment, may increase our ability to make more informed predcitions about ecological and evolutonary dynamics of natural populations</w:t>
      </w:r>
      <w:r>
        <w:t xml:space="preserve"> </w:t>
      </w:r>
      <w:r>
        <w:t xml:space="preserve">(Forsman 2015)</w:t>
      </w:r>
      <w:r>
        <w:t xml:space="preserve">.</w:t>
      </w:r>
    </w:p>
    <w:bookmarkEnd w:id="86"/>
    <w:bookmarkEnd w:id="87"/>
    <w:bookmarkStart w:id="148" w:name="references"/>
    <w:p>
      <w:pPr>
        <w:pStyle w:val="Heading2"/>
      </w:pPr>
      <w:r>
        <w:t xml:space="preserve">References</w:t>
      </w:r>
    </w:p>
    <w:p>
      <w:pPr>
        <w:pStyle w:val="FirstParagraph"/>
      </w:pPr>
    </w:p>
    <w:bookmarkStart w:id="147" w:name="refs"/>
    <w:bookmarkStart w:id="88" w:name="ref-Agashe2009"/>
    <w:p>
      <w:pPr>
        <w:pStyle w:val="Bibliography"/>
      </w:pPr>
      <w:r>
        <w:t xml:space="preserve">Agashe, D. (2009). The stabilizing effect of intraspecific genetic variation on population dynamics in novel and ancestral habitats.</w:t>
      </w:r>
      <w:r>
        <w:t xml:space="preserve"> </w:t>
      </w:r>
      <w:r>
        <w:rPr>
          <w:iCs/>
          <w:i/>
        </w:rPr>
        <w:t xml:space="preserve">The American Naturalist</w:t>
      </w:r>
      <w:r>
        <w:t xml:space="preserve">, 174, 255–267.</w:t>
      </w:r>
    </w:p>
    <w:bookmarkEnd w:id="88"/>
    <w:bookmarkStart w:id="89" w:name="ref-Bolnick2011"/>
    <w:p>
      <w:pPr>
        <w:pStyle w:val="Bibliography"/>
      </w:pPr>
      <w:r>
        <w:t xml:space="preserve">Bolnick, D.I., Amarasekare, P., Araújo, M.S., M. Levine, R.B. andJonathan, Novak, M., Rudolf, V.H.W.,</w:t>
      </w:r>
      <w:r>
        <w:t xml:space="preserve"> </w:t>
      </w:r>
      <w:r>
        <w:rPr>
          <w:iCs/>
          <w:i/>
        </w:rPr>
        <w:t xml:space="preserve">et al.</w:t>
      </w:r>
      <w:r>
        <w:t xml:space="preserve"> (2011). Why intraspecific trait variation matters in community ecology.</w:t>
      </w:r>
      <w:r>
        <w:t xml:space="preserve"> </w:t>
      </w:r>
      <w:r>
        <w:rPr>
          <w:iCs/>
          <w:i/>
        </w:rPr>
        <w:t xml:space="preserve">Trends in Ecology and Evolution</w:t>
      </w:r>
      <w:r>
        <w:t xml:space="preserve">, 26, 183–192.</w:t>
      </w:r>
    </w:p>
    <w:bookmarkEnd w:id="89"/>
    <w:bookmarkStart w:id="90"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90"/>
    <w:bookmarkStart w:id="91"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91"/>
    <w:bookmarkStart w:id="92"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92"/>
    <w:bookmarkStart w:id="93"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93"/>
    <w:bookmarkStart w:id="94"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94"/>
    <w:bookmarkStart w:id="95" w:name="ref-Chevin2010"/>
    <w:p>
      <w:pPr>
        <w:pStyle w:val="Bibliography"/>
      </w:pPr>
      <w:r>
        <w:t xml:space="preserve">Chevin, L.-M., Lande, R. &amp; Mace, G.M. (2010). Adaptation, plasticity, and extinction in a changing environment: Towards a predictive theory.</w:t>
      </w:r>
      <w:r>
        <w:t xml:space="preserve"> </w:t>
      </w:r>
      <w:r>
        <w:rPr>
          <w:iCs/>
          <w:i/>
        </w:rPr>
        <w:t xml:space="preserve">PLoS Biology</w:t>
      </w:r>
      <w:r>
        <w:t xml:space="preserve">, 8, e1000357, https://doi.org/10.1371/journal.pbio.1000357.</w:t>
      </w:r>
    </w:p>
    <w:bookmarkEnd w:id="95"/>
    <w:bookmarkStart w:id="96" w:name="ref-Chevin2015"/>
    <w:p>
      <w:pPr>
        <w:pStyle w:val="Bibliography"/>
      </w:pPr>
      <w:r>
        <w:t xml:space="preserve">Chevin, L.M. &amp; Lande, R. (2015). Evolution of environmental cues for phenotypic plasticity.</w:t>
      </w:r>
      <w:r>
        <w:t xml:space="preserve"> </w:t>
      </w:r>
      <w:r>
        <w:rPr>
          <w:iCs/>
          <w:i/>
        </w:rPr>
        <w:t xml:space="preserve">Evolution</w:t>
      </w:r>
      <w:r>
        <w:t xml:space="preserve">, 69, 2767–2775, https:// doi.org/10.1111/evo.12755.</w:t>
      </w:r>
    </w:p>
    <w:bookmarkEnd w:id="96"/>
    <w:bookmarkStart w:id="97" w:name="ref-Dewitt1998"/>
    <w:p>
      <w:pPr>
        <w:pStyle w:val="Bibliography"/>
      </w:pPr>
      <w:r>
        <w:t xml:space="preserve">Dewitt, T.J., Sih, A. &amp; Wilson, D.S. (1998). Costs and limits of phenotypic plasticity.</w:t>
      </w:r>
      <w:r>
        <w:t xml:space="preserve"> </w:t>
      </w:r>
      <w:r>
        <w:rPr>
          <w:iCs/>
          <w:i/>
        </w:rPr>
        <w:t xml:space="preserve">Trends in Ecology and Evolution</w:t>
      </w:r>
      <w:r>
        <w:t xml:space="preserve">, 13, 77–81.</w:t>
      </w:r>
    </w:p>
    <w:bookmarkEnd w:id="97"/>
    <w:bookmarkStart w:id="98"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98"/>
    <w:bookmarkStart w:id="99"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99"/>
    <w:bookmarkStart w:id="100" w:name="ref-forsman2014effects"/>
    <w:p>
      <w:pPr>
        <w:pStyle w:val="Bibliography"/>
      </w:pPr>
      <w:r>
        <w:t xml:space="preserve">Forsman, A. (2014). Effects of genotypic and phenotypic variation on establishment are important for conservation, invasion, and infection biology.</w:t>
      </w:r>
      <w:r>
        <w:t xml:space="preserve"> </w:t>
      </w:r>
      <w:r>
        <w:rPr>
          <w:iCs/>
          <w:i/>
        </w:rPr>
        <w:t xml:space="preserve">Proceedings of the National Academy of Sciences</w:t>
      </w:r>
      <w:r>
        <w:t xml:space="preserve">, 111, 302–307.</w:t>
      </w:r>
    </w:p>
    <w:bookmarkEnd w:id="100"/>
    <w:bookmarkStart w:id="101" w:name="ref-forsman2015rethinking"/>
    <w:p>
      <w:pPr>
        <w:pStyle w:val="Bibliography"/>
      </w:pPr>
      <w:r>
        <w:t xml:space="preserve">Forsman, A. (2015). Rethinking phenotypic plasticity and its consequences for individuals, populations and species.</w:t>
      </w:r>
      <w:r>
        <w:t xml:space="preserve"> </w:t>
      </w:r>
      <w:r>
        <w:rPr>
          <w:iCs/>
          <w:i/>
        </w:rPr>
        <w:t xml:space="preserve">Heredity</w:t>
      </w:r>
      <w:r>
        <w:t xml:space="preserve">, 115, 276–284.</w:t>
      </w:r>
    </w:p>
    <w:bookmarkEnd w:id="101"/>
    <w:bookmarkStart w:id="102"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102"/>
    <w:bookmarkStart w:id="103"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103"/>
    <w:bookmarkStart w:id="104"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104"/>
    <w:bookmarkStart w:id="105"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105"/>
    <w:bookmarkStart w:id="106" w:name="ref-hendry2016key"/>
    <w:p>
      <w:pPr>
        <w:pStyle w:val="Bibliography"/>
      </w:pPr>
      <w:r>
        <w:t xml:space="preserve">Hendry, A.P. (2016). Key questions on the role of phenotypic plasticity in eco-evolutionary dynamics.</w:t>
      </w:r>
      <w:r>
        <w:t xml:space="preserve"> </w:t>
      </w:r>
      <w:r>
        <w:rPr>
          <w:iCs/>
          <w:i/>
        </w:rPr>
        <w:t xml:space="preserve">Journal of Heredity</w:t>
      </w:r>
      <w:r>
        <w:t xml:space="preserve">, 107, 25–41.</w:t>
      </w:r>
    </w:p>
    <w:bookmarkEnd w:id="106"/>
    <w:bookmarkStart w:id="107"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107"/>
    <w:bookmarkStart w:id="108" w:name="ref-hoffmann2013upper"/>
    <w:p>
      <w:pPr>
        <w:pStyle w:val="Bibliography"/>
      </w:pPr>
      <w:r>
        <w:t xml:space="preserve">Hoffmann, A.A., Chown, S.L. &amp; Clusella-Trullas, S. (2013). Upper thermal limits in terrestrial ectotherms: How constrained are they?</w:t>
      </w:r>
      <w:r>
        <w:t xml:space="preserve"> </w:t>
      </w:r>
      <w:r>
        <w:rPr>
          <w:iCs/>
          <w:i/>
        </w:rPr>
        <w:t xml:space="preserve">Functional Ecology</w:t>
      </w:r>
      <w:r>
        <w:t xml:space="preserve">, 27, 934–949.</w:t>
      </w:r>
    </w:p>
    <w:bookmarkEnd w:id="108"/>
    <w:bookmarkStart w:id="109" w:name="ref-imura2003genetic"/>
    <w:p>
      <w:pPr>
        <w:pStyle w:val="Bibliography"/>
      </w:pPr>
      <w:r>
        <w:t xml:space="preserve">Imura, D., Toquenaga, Y. &amp; Fujii, K. (2003). Genetic variation can promote system persistence in an experimental host-parasitoid system.</w:t>
      </w:r>
      <w:r>
        <w:t xml:space="preserve"> </w:t>
      </w:r>
      <w:r>
        <w:rPr>
          <w:iCs/>
          <w:i/>
        </w:rPr>
        <w:t xml:space="preserve">Population Ecology</w:t>
      </w:r>
      <w:r>
        <w:t xml:space="preserve">, 45, 205–212.</w:t>
      </w:r>
    </w:p>
    <w:bookmarkEnd w:id="109"/>
    <w:bookmarkStart w:id="110" w:name="ref-kooijman1989population"/>
    <w:p>
      <w:pPr>
        <w:pStyle w:val="Bibliography"/>
      </w:pPr>
      <w:r>
        <w:t xml:space="preserve">Kooijman, S., Van der Hoeven, N. &amp; Van der Werf, D. (1989). Population consequences of a physiological model for individuals.</w:t>
      </w:r>
      <w:r>
        <w:t xml:space="preserve"> </w:t>
      </w:r>
      <w:r>
        <w:rPr>
          <w:iCs/>
          <w:i/>
        </w:rPr>
        <w:t xml:space="preserve">Functional Ecology</w:t>
      </w:r>
      <w:r>
        <w:t xml:space="preserve">, 325–336.</w:t>
      </w:r>
    </w:p>
    <w:bookmarkEnd w:id="110"/>
    <w:bookmarkStart w:id="111"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111"/>
    <w:bookmarkStart w:id="112" w:name="ref-Lande2009"/>
    <w:p>
      <w:pPr>
        <w:pStyle w:val="Bibliography"/>
      </w:pPr>
      <w:r>
        <w:t xml:space="preserve">Lande, R. (2009). Adaptation to an extraordinary environment by evolution of phenotypic plasticity and genetic assimilation.</w:t>
      </w:r>
      <w:r>
        <w:t xml:space="preserve"> </w:t>
      </w:r>
      <w:r>
        <w:rPr>
          <w:iCs/>
          <w:i/>
        </w:rPr>
        <w:t xml:space="preserve">Journal of Evolutionary Biology</w:t>
      </w:r>
      <w:r>
        <w:t xml:space="preserve">, 22, 1435–1446.</w:t>
      </w:r>
    </w:p>
    <w:bookmarkEnd w:id="112"/>
    <w:bookmarkStart w:id="113" w:name="ref-Leung2020"/>
    <w:p>
      <w:pPr>
        <w:pStyle w:val="Bibliography"/>
      </w:pPr>
      <w:r>
        <w:t xml:space="preserve">Leung, C., Rescan, M., Grulois, D. &amp; Chevin, L. (2020). 2020.</w:t>
      </w:r>
      <w:r>
        <w:t xml:space="preserve"> </w:t>
      </w:r>
      <w:r>
        <w:rPr>
          <w:iCs/>
          <w:i/>
        </w:rPr>
        <w:t xml:space="preserve">Ecology Letters</w:t>
      </w:r>
      <w:r>
        <w:t xml:space="preserve">, 23, 1664–1672.</w:t>
      </w:r>
    </w:p>
    <w:bookmarkEnd w:id="113"/>
    <w:bookmarkStart w:id="114" w:name="ref-Merila2014"/>
    <w:p>
      <w:pPr>
        <w:pStyle w:val="Bibliography"/>
      </w:pPr>
      <w:r>
        <w:t xml:space="preserve">Merila, J. &amp; Hendry, A.P. (2014). Climate change, adaptation, and phenotypic plasticity: The problem and the evidence.</w:t>
      </w:r>
      <w:r>
        <w:t xml:space="preserve"> </w:t>
      </w:r>
      <w:r>
        <w:rPr>
          <w:iCs/>
          <w:i/>
        </w:rPr>
        <w:t xml:space="preserve">Evolutionary Applications</w:t>
      </w:r>
      <w:r>
        <w:t xml:space="preserve">, 7, 1–14., doi:10. 1111/eva.12137.</w:t>
      </w:r>
    </w:p>
    <w:bookmarkEnd w:id="114"/>
    <w:bookmarkStart w:id="115"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115"/>
    <w:bookmarkStart w:id="116" w:name="ref-Murren2015"/>
    <w:p>
      <w:pPr>
        <w:pStyle w:val="Bibliography"/>
      </w:pPr>
      <w:r>
        <w:t xml:space="preserve">Murren, C., Auld, J., Callahan, H., Ghalambor, C., Handelsman, C., Heskel, M.,</w:t>
      </w:r>
      <w:r>
        <w:t xml:space="preserve"> </w:t>
      </w:r>
      <w:r>
        <w:rPr>
          <w:iCs/>
          <w:i/>
        </w:rPr>
        <w:t xml:space="preserve">et al.</w:t>
      </w:r>
      <w:r>
        <w:t xml:space="preserve"> (2015). Constraints on the evolution of phenotypic plasticity: Limits and costs of phenotype and plasticity.</w:t>
      </w:r>
      <w:r>
        <w:t xml:space="preserve"> </w:t>
      </w:r>
      <w:r>
        <w:rPr>
          <w:iCs/>
          <w:i/>
        </w:rPr>
        <w:t xml:space="preserve">Heredity</w:t>
      </w:r>
      <w:r>
        <w:t xml:space="preserve">, 115, 293–301.</w:t>
      </w:r>
    </w:p>
    <w:bookmarkEnd w:id="116"/>
    <w:bookmarkStart w:id="117"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117"/>
    <w:bookmarkStart w:id="118"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118"/>
    <w:bookmarkStart w:id="119"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119"/>
    <w:bookmarkStart w:id="120"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120"/>
    <w:bookmarkStart w:id="121"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121"/>
    <w:bookmarkStart w:id="122"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122"/>
    <w:bookmarkStart w:id="123" w:name="ref-Nunney2016"/>
    <w:p>
      <w:pPr>
        <w:pStyle w:val="Bibliography"/>
      </w:pPr>
      <w:r>
        <w:t xml:space="preserve">Nunney, L. (2016). Adapting to a changing environment: Modeling the interaction of directional selection and plasticity.</w:t>
      </w:r>
      <w:r>
        <w:t xml:space="preserve"> </w:t>
      </w:r>
      <w:r>
        <w:rPr>
          <w:iCs/>
          <w:i/>
        </w:rPr>
        <w:t xml:space="preserve">Journal of Heredity</w:t>
      </w:r>
      <w:r>
        <w:t xml:space="preserve">, 107, 15–24.</w:t>
      </w:r>
    </w:p>
    <w:bookmarkEnd w:id="123"/>
    <w:bookmarkStart w:id="124"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124"/>
    <w:bookmarkStart w:id="125"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125"/>
    <w:bookmarkStart w:id="126" w:name="ref-Pelletier2012"/>
    <w:p>
      <w:pPr>
        <w:pStyle w:val="Bibliography"/>
      </w:pPr>
      <w:r>
        <w:t xml:space="preserve">Pelletier, F. &amp; Coulson, T. (2012). A new metric to calculate the opportunity for selection on quantitative characters.</w:t>
      </w:r>
      <w:r>
        <w:t xml:space="preserve"> </w:t>
      </w:r>
      <w:r>
        <w:rPr>
          <w:iCs/>
          <w:i/>
        </w:rPr>
        <w:t xml:space="preserve">Evolutionary Ecology Research</w:t>
      </w:r>
      <w:r>
        <w:t xml:space="preserve">, 14, 729–742.</w:t>
      </w:r>
    </w:p>
    <w:bookmarkEnd w:id="126"/>
    <w:bookmarkStart w:id="127"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127"/>
    <w:bookmarkStart w:id="128"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128"/>
    <w:bookmarkStart w:id="129"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129"/>
    <w:bookmarkStart w:id="130" w:name="ref-Pottier2022"/>
    <w:p>
      <w:pPr>
        <w:pStyle w:val="Bibliography"/>
      </w:pPr>
      <w:r>
        <w:t xml:space="preserve">Pottier, P., Burke, S., Zhang, R.Y., Noble, D.W., Schwanz, L.E., Drobniak, S.M.,</w:t>
      </w:r>
      <w:r>
        <w:t xml:space="preserve"> </w:t>
      </w:r>
      <w:r>
        <w:rPr>
          <w:iCs/>
          <w:i/>
        </w:rPr>
        <w:t xml:space="preserve">et al.</w:t>
      </w:r>
      <w:r>
        <w:t xml:space="preserve"> (2022). Developmental plasticity in thermal tolerance: Ontogenetic variation, persistence, and future directions.</w:t>
      </w:r>
      <w:r>
        <w:t xml:space="preserve"> </w:t>
      </w:r>
      <w:r>
        <w:rPr>
          <w:iCs/>
          <w:i/>
        </w:rPr>
        <w:t xml:space="preserve">Ecology Letters</w:t>
      </w:r>
      <w:r>
        <w:t xml:space="preserve">, 25, 2245–2268.</w:t>
      </w:r>
    </w:p>
    <w:bookmarkEnd w:id="130"/>
    <w:bookmarkStart w:id="131" w:name="ref-Reed2010"/>
    <w:p>
      <w:pPr>
        <w:pStyle w:val="Bibliography"/>
      </w:pPr>
      <w:r>
        <w:t xml:space="preserve">Reed, T.E., Waples, R.S., Schindler, D.E., Hard, J.J. &amp; Kinnison, M.T. (2010). Phenotypic plasticity and population viability: The importance of environmental predictability.</w:t>
      </w:r>
      <w:r>
        <w:t xml:space="preserve"> </w:t>
      </w:r>
      <w:r>
        <w:rPr>
          <w:iCs/>
          <w:i/>
        </w:rPr>
        <w:t xml:space="preserve">Proceedings of the Royal Society B: Biological Sciences</w:t>
      </w:r>
      <w:r>
        <w:t xml:space="preserve">, 277, 3391–3400.</w:t>
      </w:r>
    </w:p>
    <w:bookmarkEnd w:id="131"/>
    <w:bookmarkStart w:id="132"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32"/>
    <w:bookmarkStart w:id="133" w:name="ref-Scheiner2020"/>
    <w:p>
      <w:pPr>
        <w:pStyle w:val="Bibliography"/>
      </w:pPr>
      <w:r>
        <w:t xml:space="preserve">Scheiner, S.M., Barfield, M. &amp; Holt, R.D. (2020). The genetics of phenotypic plasticity. XVII. Response to climate change.</w:t>
      </w:r>
      <w:r>
        <w:t xml:space="preserve"> </w:t>
      </w:r>
      <w:r>
        <w:rPr>
          <w:iCs/>
          <w:i/>
        </w:rPr>
        <w:t xml:space="preserve">Evolutionary Applications</w:t>
      </w:r>
      <w:r>
        <w:t xml:space="preserve">, 13, 388–399.</w:t>
      </w:r>
    </w:p>
    <w:bookmarkEnd w:id="133"/>
    <w:bookmarkStart w:id="134" w:name="ref-Schindler2010"/>
    <w:p>
      <w:pPr>
        <w:pStyle w:val="Bibliography"/>
      </w:pPr>
      <w:r>
        <w:t xml:space="preserve">Schindler, D.E., Hilborn, R., Chasco, B., Boatright, C.P., Quinn, T.P., Rogers, L.A.,</w:t>
      </w:r>
      <w:r>
        <w:t xml:space="preserve"> </w:t>
      </w:r>
      <w:r>
        <w:rPr>
          <w:iCs/>
          <w:i/>
        </w:rPr>
        <w:t xml:space="preserve">et al.</w:t>
      </w:r>
      <w:r>
        <w:t xml:space="preserve"> (2010). Population diversity and the portfolio effect in an exploited species.</w:t>
      </w:r>
      <w:r>
        <w:t xml:space="preserve"> </w:t>
      </w:r>
      <w:r>
        <w:rPr>
          <w:iCs/>
          <w:i/>
        </w:rPr>
        <w:t xml:space="preserve">Nature</w:t>
      </w:r>
      <w:r>
        <w:t xml:space="preserve">, 465, 609–613.</w:t>
      </w:r>
    </w:p>
    <w:bookmarkEnd w:id="134"/>
    <w:bookmarkStart w:id="135"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35"/>
    <w:bookmarkStart w:id="136" w:name="ref-Slatyer2013"/>
    <w:p>
      <w:pPr>
        <w:pStyle w:val="Bibliography"/>
      </w:pPr>
      <w:r>
        <w:t xml:space="preserve">Slatyer, R.A., Hirst, M. &amp; Sexton, J.P. (2013). Niche breadth predicts geographical range size: A general ecological pattern.</w:t>
      </w:r>
      <w:r>
        <w:t xml:space="preserve"> </w:t>
      </w:r>
      <w:r>
        <w:rPr>
          <w:iCs/>
          <w:i/>
        </w:rPr>
        <w:t xml:space="preserve">Ecology Letters</w:t>
      </w:r>
      <w:r>
        <w:t xml:space="preserve">, 16, 1104–1114.</w:t>
      </w:r>
    </w:p>
    <w:bookmarkEnd w:id="136"/>
    <w:bookmarkStart w:id="137"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37"/>
    <w:bookmarkStart w:id="138"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38"/>
    <w:bookmarkStart w:id="139" w:name="ref-steele2019comparison"/>
    <w:p>
      <w:pPr>
        <w:pStyle w:val="Bibliography"/>
      </w:pPr>
      <w:r>
        <w:t xml:space="preserve">Steele, J.H., Brink, K.H. &amp; Scott, B.E. (2019). Comparison of marine and terrestrial ecosystems: Suggestions of an evolutionary perspective influenced by environmental variation.</w:t>
      </w:r>
      <w:r>
        <w:t xml:space="preserve"> </w:t>
      </w:r>
      <w:r>
        <w:rPr>
          <w:iCs/>
          <w:i/>
        </w:rPr>
        <w:t xml:space="preserve">ICES Journal of Marine Science</w:t>
      </w:r>
      <w:r>
        <w:t xml:space="preserve">, 76, 50–59.</w:t>
      </w:r>
    </w:p>
    <w:bookmarkEnd w:id="139"/>
    <w:bookmarkStart w:id="140"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40"/>
    <w:bookmarkStart w:id="141"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41"/>
    <w:bookmarkStart w:id="142" w:name="ref-Verberk2016"/>
    <w:p>
      <w:pPr>
        <w:pStyle w:val="Bibliography"/>
      </w:pPr>
      <w:r>
        <w:t xml:space="preserve">Verberk, W.C.E.P., Bartolini, F., Marshall, D.J., Pörtner, H.-O., Terblanche, J.S., White, C.R.,</w:t>
      </w:r>
      <w:r>
        <w:t xml:space="preserve"> </w:t>
      </w:r>
      <w:r>
        <w:rPr>
          <w:iCs/>
          <w:i/>
        </w:rPr>
        <w:t xml:space="preserve">et al.</w:t>
      </w:r>
      <w:r>
        <w:t xml:space="preserve"> (2016). Can respiratory physiology predict thermal niches?</w:t>
      </w:r>
      <w:r>
        <w:t xml:space="preserve"> </w:t>
      </w:r>
      <w:r>
        <w:rPr>
          <w:iCs/>
          <w:i/>
        </w:rPr>
        <w:t xml:space="preserve">Annals of the New York Academy of Sciences</w:t>
      </w:r>
      <w:r>
        <w:t xml:space="preserve">, 1365, 73–88.</w:t>
      </w:r>
    </w:p>
    <w:bookmarkEnd w:id="142"/>
    <w:bookmarkStart w:id="143"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43"/>
    <w:bookmarkStart w:id="144" w:name="ref-WestEberhard2003"/>
    <w:p>
      <w:pPr>
        <w:pStyle w:val="Bibliography"/>
      </w:pPr>
      <w:r>
        <w:t xml:space="preserve">West-Eberhard, M.J. (2003).</w:t>
      </w:r>
      <w:r>
        <w:t xml:space="preserve"> </w:t>
      </w:r>
      <w:r>
        <w:rPr>
          <w:iCs/>
          <w:i/>
        </w:rPr>
        <w:t xml:space="preserve">Developmental plasticity and evolution.</w:t>
      </w:r>
      <w:r>
        <w:t xml:space="preserve"> Oxford University Press, New York.</w:t>
      </w:r>
    </w:p>
    <w:bookmarkEnd w:id="144"/>
    <w:bookmarkStart w:id="145"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45"/>
    <w:bookmarkStart w:id="146" w:name="ref-Zheng2023"/>
    <w:p>
      <w:pPr>
        <w:pStyle w:val="Bibliography"/>
      </w:pPr>
      <w:r>
        <w:t xml:space="preserve">Zheng, S., Hu, J., Ma, Z., Lindenmayer, D. &amp; Liu, J. (2023). Increases in intraspecific body size variation are common among north american mammals and birds between 1880 and 2020.</w:t>
      </w:r>
      <w:r>
        <w:t xml:space="preserve"> </w:t>
      </w:r>
      <w:r>
        <w:rPr>
          <w:iCs/>
          <w:i/>
        </w:rPr>
        <w:t xml:space="preserve">Nature Ecology and Evolution</w:t>
      </w:r>
      <w:r>
        <w:t xml:space="preserve">, 7, 347–354, https://doi.org/10.1038/s41559-022-01967-w.</w:t>
      </w:r>
    </w:p>
    <w:bookmarkEnd w:id="146"/>
    <w:bookmarkEnd w:id="147"/>
    <w:p>
      <w:pPr>
        <w:pStyle w:val="BodyText"/>
      </w:pPr>
    </w:p>
    <w:bookmarkEnd w:id="148"/>
    <w:bookmarkStart w:id="164" w:name="supplemental-results-and-figures"/>
    <w:p>
      <w:pPr>
        <w:pStyle w:val="Heading2"/>
      </w:pPr>
      <w:r>
        <w:t xml:space="preserve">Supplemental Results and Figures</w:t>
      </w:r>
    </w:p>
    <w:bookmarkStart w:id="153"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9</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52" w:name="fig-s1"/>
          <w:p>
            <w:pPr>
              <w:pStyle w:val="Figure"/>
              <w:jc w:val="center"/>
            </w:pPr>
            <w:r>
              <w:drawing>
                <wp:inline>
                  <wp:extent cx="6680200" cy="4647095"/>
                  <wp:effectExtent b="0" l="0" r="0" t="0"/>
                  <wp:docPr descr="" title="" id="150" name="Picture"/>
                  <a:graphic>
                    <a:graphicData uri="http://schemas.openxmlformats.org/drawingml/2006/picture">
                      <pic:pic>
                        <pic:nvPicPr>
                          <pic:cNvPr descr="ms_files/figure-docx/fig-s1-1.png" id="151" name="Picture"/>
                          <pic:cNvPicPr>
                            <a:picLocks noChangeArrowheads="1" noChangeAspect="1"/>
                          </pic:cNvPicPr>
                        </pic:nvPicPr>
                        <pic:blipFill>
                          <a:blip r:embed="rId149"/>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lnVR</w:t>
            </w:r>
          </w:p>
          <w:bookmarkEnd w:id="152"/>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53"/>
    <w:bookmarkStart w:id="158"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57" w:name="fig-s3"/>
          <w:p>
            <w:pPr>
              <w:pStyle w:val="Figure"/>
              <w:jc w:val="center"/>
            </w:pPr>
            <w:r>
              <w:drawing>
                <wp:inline>
                  <wp:extent cx="6680200" cy="2379821"/>
                  <wp:effectExtent b="0" l="0" r="0" t="0"/>
                  <wp:docPr descr="" title="" id="155" name="Picture"/>
                  <a:graphic>
                    <a:graphicData uri="http://schemas.openxmlformats.org/drawingml/2006/picture">
                      <pic:pic>
                        <pic:nvPicPr>
                          <pic:cNvPr descr="ms_files/figure-docx/fig-s3-1.png" id="156" name="Picture"/>
                          <pic:cNvPicPr>
                            <a:picLocks noChangeArrowheads="1" noChangeAspect="1"/>
                          </pic:cNvPicPr>
                        </pic:nvPicPr>
                        <pic:blipFill>
                          <a:blip r:embed="rId154"/>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w:t>
            </w:r>
            <w:r>
              <w:t xml:space="preserve"> </w:t>
            </w:r>
            <m:oMath>
              <m:sSup>
                <m:e>
                  <m:r>
                    <m:t>I</m:t>
                  </m:r>
                </m:e>
                <m:sup>
                  <m:r>
                    <m:t>2</m:t>
                  </m:r>
                </m:sup>
              </m:sSup>
            </m:oMath>
            <w:r>
              <w:t xml:space="preserve"> </w:t>
            </w:r>
            <w:r>
              <w:t xml:space="preserve">estimates. A)</w:t>
            </w:r>
            <w:r>
              <w:t xml:space="preserve"> </w:t>
            </w:r>
            <m:oMath>
              <m:r>
                <m:t>l</m:t>
              </m:r>
              <m:r>
                <m:t>n</m:t>
              </m:r>
              <m:r>
                <m:t>R</m:t>
              </m:r>
              <m:sSub>
                <m:e>
                  <m:r>
                    <m:t>R</m:t>
                  </m:r>
                </m:e>
                <m:sub>
                  <m:sSub>
                    <m:e>
                      <m:r>
                        <m:t>Q</m:t>
                      </m:r>
                    </m:e>
                    <m:sub>
                      <m:r>
                        <m:t>10</m:t>
                      </m:r>
                    </m:sub>
                  </m:sSub>
                </m:sub>
              </m:sSub>
            </m:oMath>
            <w:r>
              <w:t xml:space="preserve"> </w:t>
            </w:r>
            <w:r>
              <w:t xml:space="preserve">B)</w:t>
            </w:r>
            <w:r>
              <w:t xml:space="preserve"> </w:t>
            </w:r>
            <m:oMath>
              <m:r>
                <m:t>l</m:t>
              </m:r>
              <m:r>
                <m:t>n</m:t>
              </m:r>
              <m:r>
                <m:t>C</m:t>
              </m:r>
              <m:r>
                <m:t>V</m:t>
              </m:r>
              <m:sSub>
                <m:e>
                  <m:r>
                    <m:t>R</m:t>
                  </m:r>
                </m:e>
                <m:sub>
                  <m:sSub>
                    <m:e>
                      <m:r>
                        <m:t>Q</m:t>
                      </m:r>
                    </m:e>
                    <m:sub>
                      <m:r>
                        <m:t>10</m:t>
                      </m:r>
                    </m:sub>
                  </m:sSub>
                </m:sub>
              </m:sSub>
            </m:oMath>
            <w:r>
              <w:t xml:space="preserve"> </w:t>
            </w:r>
            <w:r>
              <w:t xml:space="preserve">and C)</w:t>
            </w:r>
            <w:r>
              <w:t xml:space="preserve"> </w:t>
            </w:r>
            <m:oMath>
              <m:r>
                <m:t>l</m:t>
              </m:r>
              <m:r>
                <m:t>n</m:t>
              </m:r>
              <m:r>
                <m:t>V</m:t>
              </m:r>
              <m:sSub>
                <m:e>
                  <m:r>
                    <m:t>R</m:t>
                  </m:r>
                </m:e>
                <m:sub>
                  <m:sSub>
                    <m:e>
                      <m:r>
                        <m:t>Q</m:t>
                      </m:r>
                    </m:e>
                    <m:sub>
                      <m:r>
                        <m:t>10</m:t>
                      </m:r>
                    </m:sub>
                  </m:sSub>
                </m:sub>
              </m:sSub>
            </m:oMath>
            <w:r>
              <w:t xml:space="preserve">.</w:t>
            </w:r>
          </w:p>
          <w:bookmarkEnd w:id="157"/>
        </w:tc>
      </w:tr>
    </w:tbl>
    <w:bookmarkEnd w:id="158"/>
    <w:bookmarkStart w:id="163"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11</w:t>
        </w:r>
      </w:hyperlink>
      <w:r>
        <w:t xml:space="preserve">).</w:t>
      </w:r>
    </w:p>
    <w:tbl>
      <w:tblPr>
        <w:tblStyle w:val="Table"/>
        <w:tblW w:type="pct" w:w="5000"/>
        <w:tblLook w:firstRow="0" w:lastRow="0" w:firstColumn="0" w:lastColumn="0" w:noHBand="0" w:noVBand="0" w:val="0000"/>
      </w:tblPr>
      <w:tblGrid>
        <w:gridCol w:w="7920"/>
      </w:tblGrid>
      <w:tr>
        <w:tc>
          <w:tcPr/>
          <w:bookmarkStart w:id="162" w:name="fig-s2"/>
          <w:p>
            <w:pPr>
              <w:pStyle w:val="Figure"/>
              <w:jc w:val="center"/>
            </w:pPr>
            <w:r>
              <w:drawing>
                <wp:inline>
                  <wp:extent cx="6680200" cy="2788257"/>
                  <wp:effectExtent b="0" l="0" r="0" t="0"/>
                  <wp:docPr descr="" title="" id="160" name="Picture"/>
                  <a:graphic>
                    <a:graphicData uri="http://schemas.openxmlformats.org/drawingml/2006/picture">
                      <pic:pic>
                        <pic:nvPicPr>
                          <pic:cNvPr descr="ms_files/figure-docx/fig-s2-1.png" id="161" name="Picture"/>
                          <pic:cNvPicPr>
                            <a:picLocks noChangeArrowheads="1" noChangeAspect="1"/>
                          </pic:cNvPicPr>
                        </pic:nvPicPr>
                        <pic:blipFill>
                          <a:blip r:embed="rId159"/>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62"/>
        </w:tc>
      </w:tr>
    </w:tbl>
    <w:bookmarkEnd w:id="163"/>
    <w:bookmarkEnd w:id="164"/>
    <w:sectPr w:rsidR="00AC5C93" w:rsidSect="005164BF">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5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149" Target="media/rId149.png" /><Relationship Type="http://schemas.openxmlformats.org/officeDocument/2006/relationships/image" Id="rId159" Target="media/rId159.png" /><Relationship Type="http://schemas.openxmlformats.org/officeDocument/2006/relationships/image" Id="rId154" Target="media/rId15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variance in physiological rates for terrestrial ectotherm populations under climate change</dc:title>
  <dc:creator/>
  <cp:keywords/>
  <dcterms:created xsi:type="dcterms:W3CDTF">2023-12-13T02:50:42Z</dcterms:created>
  <dcterms:modified xsi:type="dcterms:W3CDTF">2023-12-13T02:50:42Z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